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b w:val="1"/>
          <w:sz w:val="32"/>
          <w:szCs w:val="32"/>
        </w:rPr>
      </w:pPr>
      <w:r w:rsidDel="00000000" w:rsidR="00000000" w:rsidRPr="00000000">
        <w:rPr>
          <w:rFonts w:ascii="Arial Narrow" w:cs="Arial Narrow" w:eastAsia="Arial Narrow" w:hAnsi="Arial Narrow"/>
          <w:b w:val="1"/>
          <w:sz w:val="32"/>
          <w:szCs w:val="32"/>
          <w:rtl w:val="0"/>
        </w:rPr>
        <w:t xml:space="preserve">Spelpost Ziekenhuis  =&gt; Verbond Heuvelland</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Jouw verbond bemant de spelpost ‘ziekenhuis’ tijdens het nachtspel. Dit betekent dat jullie een 15-tal begeleiding voorzien die zich inleven in de verschillende personages van het ziekenhuis. De deelnemers kunnen terecht bij jullie om ‘medicijnen’ te verdienen. Dit hebben de deelnemers nodig om naar de ruimte te mogen vertrekken in de raket.</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Deze ‘medicijnen’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het ziekenhuis,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medicijnen (voorgesteld door een tictacje)</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Groot materiaal (voorzien via nachtspelploeg):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4tal ‘ziekenhuisbedden’: tafels, met hierover witte lakens, pappegaaienstok, en dossier aan het voeteneinde, eventueel met paspoppen.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Operatietafel: tafel met operatielakens,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Medicijnen: minimaal 350 tictacjes</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(eventueel zelf te voorzien door verbond):</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Rolstoelen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Grote spuiten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Pampers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Verbanden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Onderzoeksmateriaal</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Verkleedkledij begeleiding (zie onder)</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77.0" w:type="dxa"/>
        <w:tblLayout w:type="fixed"/>
        <w:tblLook w:val="0400"/>
      </w:tblPr>
      <w:tblGrid>
        <w:gridCol w:w="2547"/>
        <w:gridCol w:w="830"/>
        <w:gridCol w:w="3651"/>
        <w:gridCol w:w="988"/>
        <w:gridCol w:w="2332"/>
        <w:tblGridChange w:id="0">
          <w:tblGrid>
            <w:gridCol w:w="2547"/>
            <w:gridCol w:w="830"/>
            <w:gridCol w:w="3651"/>
            <w:gridCol w:w="988"/>
            <w:gridCol w:w="2332"/>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Chirurg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Dokter Bibber </w:t>
            </w:r>
            <w:r w:rsidDel="00000000" w:rsidR="00000000" w:rsidRPr="00000000">
              <w:rPr>
                <w:rFonts w:ascii="Arial Narrow" w:cs="Arial Narrow" w:eastAsia="Arial Narrow" w:hAnsi="Arial Narrow"/>
                <w:rtl w:val="0"/>
              </w:rPr>
              <w:t xml:space="preserve">– Het gekende spelletje, organen verwijderen zonder de rand aan te raken.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Dokter Bibberspel</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Ambulancier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Ambulance – </w:t>
            </w:r>
            <w:r w:rsidDel="00000000" w:rsidR="00000000" w:rsidRPr="00000000">
              <w:rPr>
                <w:rFonts w:ascii="Arial Narrow" w:cs="Arial Narrow" w:eastAsia="Arial Narrow" w:hAnsi="Arial Narrow"/>
                <w:rtl w:val="0"/>
              </w:rPr>
              <w:t xml:space="preserve">Loop om ter snelst een ter plaatse afgebakend parcourtje met een brancard: 2 clans tegen elkaar.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brancards, (parcours af te bakenen met takken)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Ambulancier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Rush hour puzzel </w:t>
            </w:r>
            <w:r w:rsidDel="00000000" w:rsidR="00000000" w:rsidRPr="00000000">
              <w:rPr>
                <w:rFonts w:ascii="Arial Narrow" w:cs="Arial Narrow" w:eastAsia="Arial Narrow" w:hAnsi="Arial Narrow"/>
                <w:rtl w:val="0"/>
              </w:rPr>
              <w:t xml:space="preserve">– Probeer de ambulance buiten uit de puzzel te varen door de andere auto’s aan de kant te schuiven (cfr. rush hour).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Grote rush hour puzzel met ambulance</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Radioloog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Radiologie</w:t>
            </w:r>
            <w:r w:rsidDel="00000000" w:rsidR="00000000" w:rsidRPr="00000000">
              <w:rPr>
                <w:rFonts w:ascii="Arial Narrow" w:cs="Arial Narrow" w:eastAsia="Arial Narrow" w:hAnsi="Arial Narrow"/>
                <w:rtl w:val="0"/>
              </w:rPr>
              <w:t xml:space="preserve"> – Een persoon van de groep beeldt een aantal woorden uit achter een scherm. De rest van de clan, en eventuele andere ploegen moeten raden.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Wit laken, lamp op batterijen, touw om laken op te hangen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Psychiater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Ghost </w:t>
            </w:r>
            <w:r w:rsidDel="00000000" w:rsidR="00000000" w:rsidRPr="00000000">
              <w:rPr>
                <w:rFonts w:ascii="Arial Narrow" w:cs="Arial Narrow" w:eastAsia="Arial Narrow" w:hAnsi="Arial Narrow"/>
                <w:rtl w:val="0"/>
              </w:rPr>
              <w:t xml:space="preserve">– Iedereen zit in een kring en zegt om beurt een letter. Deze letters moeten samen een woord vormen. Als je niet meer kan volgen, of ontmaskerd wordt voor bluf wordt je ‘Ghost’. Zie regels: </w:t>
            </w:r>
            <w:hyperlink r:id="rId6">
              <w:r w:rsidDel="00000000" w:rsidR="00000000" w:rsidRPr="00000000">
                <w:rPr>
                  <w:rFonts w:ascii="Arial Narrow" w:cs="Arial Narrow" w:eastAsia="Arial Narrow" w:hAnsi="Arial Narrow"/>
                  <w:color w:val="0563c1"/>
                  <w:u w:val="single"/>
                  <w:rtl w:val="0"/>
                </w:rPr>
                <w:t xml:space="preserve">https://www.spelensite.be/spel/ghost</w:t>
              </w:r>
            </w:hyperlink>
            <w:r w:rsidDel="00000000" w:rsidR="00000000" w:rsidRPr="00000000">
              <w:rPr>
                <w:rtl w:val="0"/>
              </w:rPr>
            </w:r>
          </w:p>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Na 4 min stopt het spel, de clan van de ghost op dat moment verliest, de andere clan wint.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 (evt zelf timer mee te nemen)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Patiënt zonder armen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Pok pok mellowcake – </w:t>
            </w:r>
            <w:r w:rsidDel="00000000" w:rsidR="00000000" w:rsidRPr="00000000">
              <w:rPr>
                <w:rFonts w:ascii="Arial Narrow" w:cs="Arial Narrow" w:eastAsia="Arial Narrow" w:hAnsi="Arial Narrow"/>
                <w:rtl w:val="0"/>
              </w:rPr>
              <w:t xml:space="preserve">Probeer om ter snelst een mellowcake op te eten zonder je handen te gebruiken.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Mellowcakes (150 tal)</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Verpleging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Spuiten </w:t>
            </w:r>
            <w:r w:rsidDel="00000000" w:rsidR="00000000" w:rsidRPr="00000000">
              <w:rPr>
                <w:rFonts w:ascii="Arial Narrow" w:cs="Arial Narrow" w:eastAsia="Arial Narrow" w:hAnsi="Arial Narrow"/>
                <w:rtl w:val="0"/>
              </w:rPr>
              <w:t xml:space="preserve">– Probeer enkele theelichtjes op afstand te blussen met een spuitje water.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Theelichtjes (50), glazen potjes, spuitjes (10 tal)</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Verpleging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Memory </w:t>
            </w:r>
            <w:r w:rsidDel="00000000" w:rsidR="00000000" w:rsidRPr="00000000">
              <w:rPr>
                <w:rFonts w:ascii="Arial Narrow" w:cs="Arial Narrow" w:eastAsia="Arial Narrow" w:hAnsi="Arial Narrow"/>
                <w:rtl w:val="0"/>
              </w:rPr>
              <w:t xml:space="preserve">– Memory met medische voorwerpen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Memorykaartjes met medische voorwerpen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Vroedvrouw</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Knalbevalling</w:t>
            </w:r>
            <w:r w:rsidDel="00000000" w:rsidR="00000000" w:rsidRPr="00000000">
              <w:rPr>
                <w:rFonts w:ascii="Arial Narrow" w:cs="Arial Narrow" w:eastAsia="Arial Narrow" w:hAnsi="Arial Narrow"/>
                <w:rtl w:val="0"/>
              </w:rPr>
              <w:t xml:space="preserve"> – Iedereen steekt een ballon onder zijn T-shirt en probeert tegen elkaar te botsen. De clan die het eerst zijn ballonnen stuk krijgt wint. PS: op de grond duwen telt niet.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Ballonnen (150 tal)</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Kinesist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Rolstoelrace</w:t>
            </w:r>
            <w:r w:rsidDel="00000000" w:rsidR="00000000" w:rsidRPr="00000000">
              <w:rPr>
                <w:rFonts w:ascii="Arial Narrow" w:cs="Arial Narrow" w:eastAsia="Arial Narrow" w:hAnsi="Arial Narrow"/>
                <w:rtl w:val="0"/>
              </w:rPr>
              <w:t xml:space="preserve"> – Twee afgevaardigden van elke clan proberen om ter snelst een parcourtje in rolstoel af te werken.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rolstoelen, (parcours af te bakkenen met stokken, ...)</w:t>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p>
    <w:tbl>
      <w:tblPr>
        <w:tblStyle w:val="Table4"/>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Smokkelaar (zichtbaar louche gekleed)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drugs.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ze op het festival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muizen (als proefdier) en kledij, en geeft hiervoor ‘medicijnen (=tictacje)’ in ruil.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alcoholstift (om zwarte markering te maken)</w:t>
            </w:r>
          </w:p>
        </w:tc>
      </w:tr>
    </w:tbl>
    <w:p w:rsidR="00000000" w:rsidDel="00000000" w:rsidP="00000000" w:rsidRDefault="00000000" w:rsidRPr="00000000">
      <w:pPr>
        <w:contextualSpacing w:val="0"/>
        <w:rPr>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8.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https://www.spelensite.be/spel/gho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